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0F" w:rsidRPr="002F6B5A" w:rsidRDefault="0025700F" w:rsidP="0025700F">
      <w:pPr>
        <w:ind w:firstLine="0"/>
        <w:jc w:val="center"/>
        <w:rPr>
          <w:b/>
          <w:bCs/>
          <w:szCs w:val="28"/>
          <w:lang w:eastAsia="uk-UA"/>
        </w:rPr>
      </w:pPr>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25700F" w:rsidRPr="002F6B5A" w:rsidTr="00F72E45">
        <w:tc>
          <w:tcPr>
            <w:tcW w:w="5000" w:type="pct"/>
            <w:gridSpan w:val="3"/>
          </w:tcPr>
          <w:p w:rsidR="0025700F" w:rsidRPr="002F6B5A" w:rsidRDefault="0025700F" w:rsidP="00F72E45">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25700F" w:rsidRPr="002F6B5A" w:rsidTr="00F72E45">
        <w:trPr>
          <w:trHeight w:val="864"/>
        </w:trPr>
        <w:tc>
          <w:tcPr>
            <w:tcW w:w="1143" w:type="pct"/>
            <w:gridSpan w:val="2"/>
          </w:tcPr>
          <w:p w:rsidR="0025700F" w:rsidRPr="002F6B5A" w:rsidRDefault="0025700F" w:rsidP="00F72E45">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r w:rsidRPr="006136DB">
              <w:rPr>
                <w:sz w:val="24"/>
                <w:szCs w:val="24"/>
                <w:lang w:eastAsia="uk-UA"/>
              </w:rPr>
              <w:tab/>
            </w:r>
          </w:p>
        </w:tc>
        <w:tc>
          <w:tcPr>
            <w:tcW w:w="3857" w:type="pct"/>
          </w:tcPr>
          <w:p w:rsidR="0025700F" w:rsidRPr="005E3E99" w:rsidRDefault="0025700F" w:rsidP="0025700F">
            <w:pPr>
              <w:widowControl w:val="0"/>
              <w:autoSpaceDE w:val="0"/>
              <w:autoSpaceDN w:val="0"/>
              <w:adjustRightInd w:val="0"/>
              <w:spacing w:after="0"/>
              <w:ind w:left="57" w:firstLine="0"/>
              <w:jc w:val="left"/>
              <w:rPr>
                <w:sz w:val="24"/>
                <w:szCs w:val="24"/>
                <w:lang w:eastAsia="uk-UA"/>
              </w:rPr>
            </w:pPr>
            <w:r>
              <w:rPr>
                <w:sz w:val="24"/>
                <w:szCs w:val="24"/>
              </w:rPr>
              <w:t>заступник начальника</w:t>
            </w:r>
            <w:r w:rsidRPr="005E3E99">
              <w:rPr>
                <w:sz w:val="24"/>
                <w:szCs w:val="24"/>
              </w:rPr>
              <w:t xml:space="preserve"> управління </w:t>
            </w:r>
            <w:r>
              <w:rPr>
                <w:sz w:val="24"/>
                <w:szCs w:val="24"/>
              </w:rPr>
              <w:t xml:space="preserve">персоналу – начальник </w:t>
            </w:r>
            <w:r w:rsidRPr="0025700F">
              <w:rPr>
                <w:sz w:val="24"/>
                <w:szCs w:val="24"/>
              </w:rPr>
              <w:t>відділу добору персоналу та проходження державної служби</w:t>
            </w:r>
            <w:r w:rsidRPr="005E3E99">
              <w:rPr>
                <w:sz w:val="24"/>
                <w:szCs w:val="24"/>
              </w:rPr>
              <w:t xml:space="preserve"> Секретаріату Центральної виборчої комісії (категорія "Б")</w:t>
            </w:r>
          </w:p>
        </w:tc>
      </w:tr>
      <w:tr w:rsidR="0025700F" w:rsidRPr="002F6B5A" w:rsidTr="00F72E45">
        <w:trPr>
          <w:trHeight w:val="399"/>
        </w:trPr>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Посадові обов’язки</w:t>
            </w: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p w:rsidR="0025700F" w:rsidRPr="002F6B5A" w:rsidRDefault="0025700F" w:rsidP="00F72E45">
            <w:pPr>
              <w:rPr>
                <w:sz w:val="24"/>
                <w:szCs w:val="24"/>
                <w:lang w:eastAsia="uk-UA"/>
              </w:rPr>
            </w:pPr>
          </w:p>
        </w:tc>
        <w:tc>
          <w:tcPr>
            <w:tcW w:w="3857" w:type="pct"/>
          </w:tcPr>
          <w:p w:rsidR="0025700F" w:rsidRPr="0025700F" w:rsidRDefault="0025700F" w:rsidP="001609C1">
            <w:pPr>
              <w:pStyle w:val="af6"/>
              <w:widowControl w:val="0"/>
              <w:numPr>
                <w:ilvl w:val="0"/>
                <w:numId w:val="18"/>
              </w:numPr>
              <w:tabs>
                <w:tab w:val="left" w:pos="175"/>
                <w:tab w:val="left" w:pos="317"/>
              </w:tabs>
              <w:spacing w:after="0"/>
              <w:ind w:left="175" w:hanging="142"/>
              <w:rPr>
                <w:sz w:val="24"/>
                <w:szCs w:val="24"/>
              </w:rPr>
            </w:pPr>
            <w:r w:rsidRPr="0025700F">
              <w:rPr>
                <w:sz w:val="24"/>
                <w:szCs w:val="24"/>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нести персональну відповідальність та звітувати перед керівником управління про виконання покладених на відділ завдань</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Забезпечувати проведення:</w:t>
            </w:r>
          </w:p>
          <w:p w:rsidR="0025700F" w:rsidRPr="0025700F" w:rsidRDefault="0025700F" w:rsidP="0025700F">
            <w:pPr>
              <w:pStyle w:val="af6"/>
              <w:widowControl w:val="0"/>
              <w:numPr>
                <w:ilvl w:val="1"/>
                <w:numId w:val="18"/>
              </w:numPr>
              <w:tabs>
                <w:tab w:val="left" w:pos="51"/>
                <w:tab w:val="left" w:pos="175"/>
                <w:tab w:val="left" w:pos="317"/>
              </w:tabs>
              <w:spacing w:after="0"/>
              <w:ind w:left="175" w:hanging="142"/>
              <w:rPr>
                <w:sz w:val="24"/>
                <w:szCs w:val="24"/>
              </w:rPr>
            </w:pPr>
            <w:r w:rsidRPr="0025700F">
              <w:rPr>
                <w:sz w:val="24"/>
                <w:szCs w:val="24"/>
              </w:rPr>
              <w:t>конкурсного відбору на посади державної служби категорій "Б" і "В";</w:t>
            </w:r>
          </w:p>
          <w:p w:rsidR="0025700F" w:rsidRPr="0025700F" w:rsidRDefault="0025700F" w:rsidP="0025700F">
            <w:pPr>
              <w:pStyle w:val="af6"/>
              <w:widowControl w:val="0"/>
              <w:numPr>
                <w:ilvl w:val="1"/>
                <w:numId w:val="18"/>
              </w:numPr>
              <w:tabs>
                <w:tab w:val="left" w:pos="51"/>
                <w:tab w:val="left" w:pos="175"/>
                <w:tab w:val="left" w:pos="317"/>
              </w:tabs>
              <w:spacing w:after="0"/>
              <w:ind w:left="175" w:hanging="142"/>
              <w:rPr>
                <w:sz w:val="24"/>
                <w:szCs w:val="24"/>
              </w:rPr>
            </w:pPr>
            <w:r w:rsidRPr="0025700F">
              <w:rPr>
                <w:sz w:val="24"/>
                <w:szCs w:val="24"/>
              </w:rPr>
              <w:t>документального оформлення вступу на державну службу, її проходження та припинення, а також інших трудових відносин з працівниками Комісії;</w:t>
            </w:r>
          </w:p>
          <w:p w:rsidR="0025700F" w:rsidRPr="0025700F" w:rsidRDefault="0025700F" w:rsidP="0025700F">
            <w:pPr>
              <w:pStyle w:val="af6"/>
              <w:widowControl w:val="0"/>
              <w:numPr>
                <w:ilvl w:val="1"/>
                <w:numId w:val="18"/>
              </w:numPr>
              <w:tabs>
                <w:tab w:val="left" w:pos="51"/>
                <w:tab w:val="left" w:pos="175"/>
                <w:tab w:val="left" w:pos="317"/>
              </w:tabs>
              <w:spacing w:after="0"/>
              <w:ind w:left="175" w:hanging="142"/>
              <w:rPr>
                <w:sz w:val="24"/>
                <w:szCs w:val="24"/>
              </w:rPr>
            </w:pPr>
            <w:r w:rsidRPr="0025700F">
              <w:rPr>
                <w:sz w:val="24"/>
                <w:szCs w:val="24"/>
              </w:rPr>
              <w:t>підготовки встановленої звітно-облікової документації, державної статистичної звітності з кадрових питань</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 xml:space="preserve">Організовувати роботу щодо: </w:t>
            </w:r>
          </w:p>
          <w:p w:rsidR="0025700F" w:rsidRPr="0025700F" w:rsidRDefault="0025700F" w:rsidP="0025700F">
            <w:pPr>
              <w:pStyle w:val="af6"/>
              <w:widowControl w:val="0"/>
              <w:numPr>
                <w:ilvl w:val="1"/>
                <w:numId w:val="18"/>
              </w:numPr>
              <w:tabs>
                <w:tab w:val="left" w:pos="51"/>
                <w:tab w:val="left" w:pos="175"/>
                <w:tab w:val="left" w:pos="317"/>
              </w:tabs>
              <w:spacing w:after="0"/>
              <w:ind w:left="175" w:hanging="142"/>
              <w:rPr>
                <w:sz w:val="24"/>
                <w:szCs w:val="24"/>
              </w:rPr>
            </w:pPr>
            <w:r w:rsidRPr="0025700F">
              <w:rPr>
                <w:sz w:val="24"/>
                <w:szCs w:val="24"/>
              </w:rPr>
              <w:t xml:space="preserve">проведення класифікації посад державної служби в Секретаріаті Комісії відповідно до законодавства; </w:t>
            </w:r>
          </w:p>
          <w:p w:rsidR="0025700F" w:rsidRPr="0025700F" w:rsidRDefault="0025700F" w:rsidP="0025700F">
            <w:pPr>
              <w:pStyle w:val="af6"/>
              <w:widowControl w:val="0"/>
              <w:numPr>
                <w:ilvl w:val="1"/>
                <w:numId w:val="18"/>
              </w:numPr>
              <w:tabs>
                <w:tab w:val="left" w:pos="51"/>
                <w:tab w:val="left" w:pos="175"/>
                <w:tab w:val="left" w:pos="317"/>
              </w:tabs>
              <w:spacing w:after="0"/>
              <w:ind w:left="175" w:hanging="142"/>
              <w:rPr>
                <w:sz w:val="24"/>
                <w:szCs w:val="24"/>
              </w:rPr>
            </w:pPr>
            <w:r w:rsidRPr="0025700F">
              <w:rPr>
                <w:sz w:val="24"/>
                <w:szCs w:val="24"/>
              </w:rPr>
              <w:t xml:space="preserve">оформлення, обліку, видачі службових та тимчасових посвідчень, листків тимчасової непрацездатності; </w:t>
            </w:r>
          </w:p>
          <w:p w:rsidR="0025700F" w:rsidRPr="0025700F" w:rsidRDefault="0025700F" w:rsidP="0025700F">
            <w:pPr>
              <w:pStyle w:val="af6"/>
              <w:widowControl w:val="0"/>
              <w:numPr>
                <w:ilvl w:val="1"/>
                <w:numId w:val="18"/>
              </w:numPr>
              <w:tabs>
                <w:tab w:val="left" w:pos="51"/>
                <w:tab w:val="left" w:pos="175"/>
                <w:tab w:val="left" w:pos="317"/>
              </w:tabs>
              <w:spacing w:after="0"/>
              <w:ind w:left="175" w:hanging="142"/>
              <w:rPr>
                <w:sz w:val="24"/>
                <w:szCs w:val="24"/>
              </w:rPr>
            </w:pPr>
            <w:r w:rsidRPr="0025700F">
              <w:rPr>
                <w:sz w:val="24"/>
                <w:szCs w:val="24"/>
              </w:rPr>
              <w:t>у межах компетенції управління підготовки розпорядчих документів про відрядження членів Комісії та працівників її Секретаріату</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Готувати зміни до структури Секретаріату Комісії та спільно з управлінням планово-фінансової діяльності, бухгалтерського обліку та звітності Секретаріату Комісії опрацьовувати штатний розпис членів Комісії, працівників Секретаріату та патронатної служби Комісії, вносити пропозиції щодо можливих змін у ньому</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Аналізувати кількісний та якісний склад персоналу в Секретаріаті Комісії, вивчати поточну потребу в такому персоналі, прогнозувати перспективну потребу в персоналі з урахуванням довгострокових цілей Комісії та вносити відповідні пропозиції керівнику управління</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Узгоджувати підготовлені відділом проєкти документів та інформації шляхом їх опрацювання та перевірки на відповідність законодавству, адаптації до визначених пріоритетів державної політики з питань управління персоналом, коригувати та доповнювати за необхідності, здійснювати аналіз ризиків та альтернативних варіантів</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Забезпечувати внесення даних про персонал, у тому числі відомостей щодо вступу на державну службу, її проходження та припинення, в інформаційну підсистему "Облік кадрів", а також роботу працівників управління в системі електронного документообігу</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 xml:space="preserve">Організовувати проведення спеціальної перевірки стосовно осіб, що претендують на зайняття посад у Секретаріаті Комісії, які передбачають зайняття відповідального або особливо відповідального </w:t>
            </w:r>
            <w:r w:rsidRPr="0025700F">
              <w:rPr>
                <w:sz w:val="24"/>
                <w:szCs w:val="24"/>
              </w:rPr>
              <w:lastRenderedPageBreak/>
              <w:t>становища, а також посад із підвищеним корупційним ризиком, призначення на які здійснюється керівником Секретаріату Комісії та Головою Комісії, а також перевірки достовірності відомостей щодо застосування заборон, передбачених частинами третьою і четвертою статті 1 Закону України "Про очищення влади", готувати довідку про її результати</w:t>
            </w:r>
            <w:r>
              <w:rPr>
                <w:sz w:val="24"/>
                <w:szCs w:val="24"/>
              </w:rPr>
              <w:t>.</w:t>
            </w:r>
          </w:p>
          <w:p w:rsidR="0025700F" w:rsidRPr="0025700F" w:rsidRDefault="0025700F" w:rsidP="0025700F">
            <w:pPr>
              <w:pStyle w:val="af6"/>
              <w:widowControl w:val="0"/>
              <w:numPr>
                <w:ilvl w:val="0"/>
                <w:numId w:val="18"/>
              </w:numPr>
              <w:tabs>
                <w:tab w:val="left" w:pos="51"/>
                <w:tab w:val="left" w:pos="175"/>
                <w:tab w:val="left" w:pos="317"/>
              </w:tabs>
              <w:spacing w:after="0"/>
              <w:ind w:left="175" w:hanging="142"/>
              <w:rPr>
                <w:sz w:val="24"/>
                <w:szCs w:val="24"/>
              </w:rPr>
            </w:pPr>
            <w:r w:rsidRPr="0025700F">
              <w:rPr>
                <w:sz w:val="24"/>
                <w:szCs w:val="24"/>
              </w:rPr>
              <w:t>Готувати пропозиції керівнику управління щодо планування службової кар'єри державних службовців, планового заміщення посад державної служби підготовленими фахівцями згідно з вимогами до професійної компетентності</w:t>
            </w:r>
            <w:r>
              <w:rPr>
                <w:sz w:val="24"/>
                <w:szCs w:val="24"/>
              </w:rPr>
              <w:t>.</w:t>
            </w:r>
          </w:p>
          <w:p w:rsidR="0025700F" w:rsidRPr="0025700F" w:rsidRDefault="0025700F" w:rsidP="001609C1">
            <w:pPr>
              <w:pStyle w:val="af6"/>
              <w:widowControl w:val="0"/>
              <w:numPr>
                <w:ilvl w:val="0"/>
                <w:numId w:val="18"/>
              </w:numPr>
              <w:tabs>
                <w:tab w:val="left" w:pos="51"/>
                <w:tab w:val="left" w:pos="175"/>
                <w:tab w:val="left" w:pos="458"/>
              </w:tabs>
              <w:spacing w:after="0"/>
              <w:ind w:left="175" w:hanging="142"/>
              <w:rPr>
                <w:sz w:val="24"/>
                <w:szCs w:val="24"/>
              </w:rPr>
            </w:pPr>
            <w:r w:rsidRPr="0025700F">
              <w:rPr>
                <w:sz w:val="24"/>
                <w:szCs w:val="24"/>
              </w:rPr>
              <w:t>Надавати консультації, методичну та методологічну допомогу працівникам управління та Комісії</w:t>
            </w:r>
            <w:r>
              <w:rPr>
                <w:sz w:val="24"/>
                <w:szCs w:val="24"/>
              </w:rPr>
              <w:t>.</w:t>
            </w:r>
          </w:p>
        </w:tc>
      </w:tr>
      <w:tr w:rsidR="0025700F" w:rsidRPr="002F6B5A" w:rsidTr="00F72E45">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lastRenderedPageBreak/>
              <w:t>Умови оплати праці</w:t>
            </w:r>
          </w:p>
        </w:tc>
        <w:tc>
          <w:tcPr>
            <w:tcW w:w="3857" w:type="pct"/>
          </w:tcPr>
          <w:p w:rsidR="0025700F" w:rsidRPr="00E1606C" w:rsidRDefault="0025700F" w:rsidP="00F72E45">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Pr>
                <w:sz w:val="24"/>
                <w:szCs w:val="24"/>
              </w:rPr>
              <w:t>16700</w:t>
            </w:r>
            <w:r w:rsidRPr="00E1606C">
              <w:rPr>
                <w:sz w:val="24"/>
                <w:szCs w:val="24"/>
              </w:rPr>
              <w:t>,00 грн;</w:t>
            </w:r>
          </w:p>
          <w:p w:rsidR="0025700F" w:rsidRPr="00E1606C" w:rsidRDefault="0025700F" w:rsidP="00F72E45">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rsidR="0025700F" w:rsidRPr="002F6B5A" w:rsidRDefault="0025700F" w:rsidP="00F72E45">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25700F" w:rsidRPr="002F6B5A" w:rsidTr="00F72E45">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3857" w:type="pct"/>
          </w:tcPr>
          <w:p w:rsidR="0025700F" w:rsidRPr="002F6B5A" w:rsidRDefault="0025700F" w:rsidP="00F72E45">
            <w:pPr>
              <w:widowControl w:val="0"/>
              <w:shd w:val="clear" w:color="auto" w:fill="FFFFFF"/>
              <w:autoSpaceDE w:val="0"/>
              <w:autoSpaceDN w:val="0"/>
              <w:adjustRightInd w:val="0"/>
              <w:spacing w:after="0"/>
              <w:ind w:firstLine="0"/>
              <w:rPr>
                <w:sz w:val="24"/>
                <w:szCs w:val="24"/>
              </w:rPr>
            </w:pPr>
            <w:r>
              <w:rPr>
                <w:sz w:val="24"/>
                <w:szCs w:val="24"/>
              </w:rPr>
              <w:t>С</w:t>
            </w:r>
            <w:r w:rsidRPr="005E3E99">
              <w:rPr>
                <w:sz w:val="24"/>
                <w:szCs w:val="24"/>
              </w:rPr>
              <w:t>троково, до призначення на цю посаду переможця конкурсу або до спливу 12 місяців з дня припинення чи скасування воєнного стану</w:t>
            </w:r>
          </w:p>
        </w:tc>
      </w:tr>
      <w:tr w:rsidR="0025700F" w:rsidRPr="002F6B5A" w:rsidTr="00F72E45">
        <w:tc>
          <w:tcPr>
            <w:tcW w:w="1143" w:type="pct"/>
            <w:gridSpan w:val="2"/>
          </w:tcPr>
          <w:p w:rsidR="0025700F" w:rsidRPr="002F6B5A" w:rsidRDefault="0025700F" w:rsidP="00F72E45">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Pr>
          <w:p w:rsidR="0025700F" w:rsidRDefault="0025700F" w:rsidP="00F72E45">
            <w:pPr>
              <w:pStyle w:val="af6"/>
              <w:widowControl w:val="0"/>
              <w:numPr>
                <w:ilvl w:val="0"/>
                <w:numId w:val="13"/>
              </w:numPr>
              <w:spacing w:after="0"/>
              <w:rPr>
                <w:color w:val="000000"/>
                <w:sz w:val="24"/>
                <w:szCs w:val="24"/>
              </w:rPr>
            </w:pPr>
            <w:r>
              <w:rPr>
                <w:color w:val="000000"/>
                <w:sz w:val="24"/>
                <w:szCs w:val="24"/>
              </w:rPr>
              <w:t>Заява довільної форми на керівника Секретаріату Центральної виборчої комісії.</w:t>
            </w:r>
          </w:p>
          <w:p w:rsidR="0025700F" w:rsidRDefault="0025700F" w:rsidP="00F72E45">
            <w:pPr>
              <w:pStyle w:val="af6"/>
              <w:widowControl w:val="0"/>
              <w:numPr>
                <w:ilvl w:val="0"/>
                <w:numId w:val="13"/>
              </w:numPr>
              <w:spacing w:after="0"/>
              <w:jc w:val="left"/>
              <w:rPr>
                <w:color w:val="000000"/>
                <w:sz w:val="24"/>
                <w:szCs w:val="24"/>
              </w:rPr>
            </w:pPr>
            <w:r w:rsidRPr="005E3E99">
              <w:rPr>
                <w:color w:val="000000"/>
                <w:sz w:val="24"/>
                <w:szCs w:val="24"/>
              </w:rPr>
              <w:t>З</w:t>
            </w:r>
            <w:r>
              <w:rPr>
                <w:color w:val="000000"/>
                <w:sz w:val="24"/>
                <w:szCs w:val="24"/>
              </w:rPr>
              <w:t>аповнена</w:t>
            </w:r>
            <w:r w:rsidRPr="005E3E99">
              <w:rPr>
                <w:color w:val="000000"/>
                <w:sz w:val="24"/>
                <w:szCs w:val="24"/>
              </w:rPr>
              <w:t xml:space="preserve"> </w:t>
            </w:r>
            <w:r>
              <w:rPr>
                <w:color w:val="000000"/>
                <w:sz w:val="24"/>
                <w:szCs w:val="24"/>
              </w:rPr>
              <w:t>особова картка</w:t>
            </w:r>
            <w:r w:rsidRPr="005E3E99">
              <w:rPr>
                <w:color w:val="000000"/>
                <w:sz w:val="24"/>
                <w:szCs w:val="24"/>
              </w:rPr>
              <w:t xml:space="preserve"> встановлено зразка:</w:t>
            </w:r>
            <w:r>
              <w:t xml:space="preserve"> </w:t>
            </w:r>
            <w:hyperlink r:id="rId7" w:history="1">
              <w:r w:rsidRPr="004B6DE1">
                <w:rPr>
                  <w:rStyle w:val="af7"/>
                  <w:sz w:val="24"/>
                  <w:szCs w:val="24"/>
                </w:rPr>
                <w:t>https://zakon.rada.gov.ua/laws/file/text/89/f495575n30.doc</w:t>
              </w:r>
            </w:hyperlink>
            <w:r>
              <w:rPr>
                <w:color w:val="000000"/>
                <w:sz w:val="24"/>
                <w:szCs w:val="24"/>
              </w:rPr>
              <w:t>.</w:t>
            </w:r>
          </w:p>
          <w:p w:rsidR="0025700F" w:rsidRDefault="0025700F" w:rsidP="00F72E45">
            <w:pPr>
              <w:pStyle w:val="af6"/>
              <w:widowControl w:val="0"/>
              <w:numPr>
                <w:ilvl w:val="0"/>
                <w:numId w:val="13"/>
              </w:numPr>
              <w:spacing w:after="0"/>
              <w:rPr>
                <w:color w:val="000000"/>
                <w:sz w:val="24"/>
                <w:szCs w:val="24"/>
              </w:rPr>
            </w:pPr>
            <w:r>
              <w:rPr>
                <w:color w:val="000000"/>
                <w:sz w:val="24"/>
                <w:szCs w:val="24"/>
              </w:rPr>
              <w:t>Документ, що</w:t>
            </w:r>
            <w:r w:rsidRPr="00F046F9">
              <w:rPr>
                <w:color w:val="000000"/>
                <w:sz w:val="24"/>
                <w:szCs w:val="24"/>
              </w:rPr>
              <w:t xml:space="preserve"> підтверджу</w:t>
            </w:r>
            <w:r>
              <w:rPr>
                <w:color w:val="000000"/>
                <w:sz w:val="24"/>
                <w:szCs w:val="24"/>
              </w:rPr>
              <w:t>є</w:t>
            </w:r>
            <w:r w:rsidRPr="00F046F9">
              <w:rPr>
                <w:color w:val="000000"/>
                <w:sz w:val="24"/>
                <w:szCs w:val="24"/>
              </w:rPr>
              <w:t xml:space="preserve"> наявність громадянства України</w:t>
            </w:r>
            <w:r>
              <w:rPr>
                <w:color w:val="000000"/>
                <w:sz w:val="24"/>
                <w:szCs w:val="24"/>
              </w:rPr>
              <w:t>.</w:t>
            </w:r>
          </w:p>
          <w:p w:rsidR="0025700F" w:rsidRDefault="0025700F" w:rsidP="00F72E45">
            <w:pPr>
              <w:pStyle w:val="af6"/>
              <w:widowControl w:val="0"/>
              <w:numPr>
                <w:ilvl w:val="0"/>
                <w:numId w:val="13"/>
              </w:numPr>
              <w:spacing w:after="0"/>
              <w:rPr>
                <w:color w:val="000000"/>
                <w:sz w:val="24"/>
                <w:szCs w:val="24"/>
              </w:rPr>
            </w:pPr>
            <w:r>
              <w:rPr>
                <w:color w:val="000000"/>
                <w:sz w:val="24"/>
                <w:szCs w:val="24"/>
              </w:rPr>
              <w:t>Документ(и), що підтверджують наявність відповідного ступеня вищої освіти</w:t>
            </w:r>
            <w:r>
              <w:t xml:space="preserve"> </w:t>
            </w:r>
            <w:r w:rsidRPr="00976B09">
              <w:rPr>
                <w:color w:val="000000"/>
                <w:sz w:val="24"/>
                <w:szCs w:val="24"/>
              </w:rPr>
              <w:t>згідно з вимогами законодавства, встановленими щодо відповідних посад.</w:t>
            </w:r>
          </w:p>
          <w:p w:rsidR="0025700F" w:rsidRDefault="0025700F" w:rsidP="00F72E45">
            <w:pPr>
              <w:pStyle w:val="af6"/>
              <w:widowControl w:val="0"/>
              <w:numPr>
                <w:ilvl w:val="0"/>
                <w:numId w:val="13"/>
              </w:numPr>
              <w:spacing w:after="0"/>
              <w:rPr>
                <w:color w:val="000000"/>
                <w:sz w:val="24"/>
                <w:szCs w:val="24"/>
              </w:rPr>
            </w:pPr>
            <w:r>
              <w:rPr>
                <w:color w:val="000000"/>
                <w:sz w:val="24"/>
                <w:szCs w:val="24"/>
              </w:rPr>
              <w:t>Д</w:t>
            </w:r>
            <w:r w:rsidRPr="00F046F9">
              <w:rPr>
                <w:color w:val="000000"/>
                <w:sz w:val="24"/>
                <w:szCs w:val="24"/>
              </w:rPr>
              <w:t>окумент</w:t>
            </w:r>
            <w:r>
              <w:rPr>
                <w:color w:val="000000"/>
                <w:sz w:val="24"/>
                <w:szCs w:val="24"/>
              </w:rPr>
              <w:t>(и)</w:t>
            </w:r>
            <w:r w:rsidRPr="00F046F9">
              <w:rPr>
                <w:color w:val="000000"/>
                <w:sz w:val="24"/>
                <w:szCs w:val="24"/>
              </w:rPr>
              <w:t>, що підтверджують наявність досвіду роботи згідно з вимогами законодавства, встановленими щодо відповідних посад.</w:t>
            </w:r>
          </w:p>
          <w:p w:rsidR="0025700F" w:rsidRDefault="0025700F" w:rsidP="00F72E45">
            <w:pPr>
              <w:widowControl w:val="0"/>
              <w:spacing w:after="0"/>
              <w:ind w:left="51" w:firstLine="0"/>
              <w:rPr>
                <w:color w:val="000000"/>
                <w:sz w:val="24"/>
                <w:szCs w:val="24"/>
              </w:rPr>
            </w:pPr>
            <w:r>
              <w:rPr>
                <w:color w:val="000000"/>
                <w:sz w:val="24"/>
                <w:szCs w:val="24"/>
              </w:rPr>
              <w:t xml:space="preserve">Документи надсилаються на адресу електронної пошти </w:t>
            </w:r>
            <w:hyperlink r:id="rId8" w:history="1">
              <w:r w:rsidRPr="004B6DE1">
                <w:rPr>
                  <w:rStyle w:val="af7"/>
                  <w:sz w:val="24"/>
                  <w:szCs w:val="24"/>
                </w:rPr>
                <w:t>SlozkoOA@cvk.gov.ua</w:t>
              </w:r>
            </w:hyperlink>
            <w:r>
              <w:rPr>
                <w:color w:val="000000"/>
                <w:sz w:val="24"/>
                <w:szCs w:val="24"/>
              </w:rPr>
              <w:t>.</w:t>
            </w:r>
          </w:p>
          <w:p w:rsidR="0025700F" w:rsidRPr="00B930BE" w:rsidRDefault="0025700F" w:rsidP="0025700F">
            <w:pPr>
              <w:widowControl w:val="0"/>
              <w:spacing w:after="0"/>
              <w:ind w:left="51" w:firstLine="0"/>
              <w:rPr>
                <w:color w:val="000000"/>
                <w:sz w:val="24"/>
                <w:szCs w:val="24"/>
              </w:rPr>
            </w:pPr>
            <w:r w:rsidRPr="00AD27A2">
              <w:rPr>
                <w:color w:val="000000"/>
                <w:sz w:val="24"/>
                <w:szCs w:val="24"/>
              </w:rPr>
              <w:t>Інформація приймається до 1</w:t>
            </w:r>
            <w:r>
              <w:rPr>
                <w:color w:val="000000"/>
                <w:sz w:val="24"/>
                <w:szCs w:val="24"/>
              </w:rPr>
              <w:t>7</w:t>
            </w:r>
            <w:r w:rsidRPr="00AD27A2">
              <w:rPr>
                <w:color w:val="000000"/>
                <w:sz w:val="24"/>
                <w:szCs w:val="24"/>
              </w:rPr>
              <w:t xml:space="preserve"> год 00 хв </w:t>
            </w:r>
            <w:r>
              <w:rPr>
                <w:color w:val="000000"/>
                <w:sz w:val="24"/>
                <w:szCs w:val="24"/>
              </w:rPr>
              <w:t>18 вересня 2022 року.</w:t>
            </w:r>
          </w:p>
        </w:tc>
      </w:tr>
      <w:tr w:rsidR="0025700F" w:rsidRPr="002F6B5A" w:rsidTr="00F72E45">
        <w:trPr>
          <w:cantSplit/>
        </w:trPr>
        <w:tc>
          <w:tcPr>
            <w:tcW w:w="1143" w:type="pct"/>
            <w:gridSpan w:val="2"/>
          </w:tcPr>
          <w:p w:rsidR="0025700F" w:rsidRPr="002F6B5A" w:rsidRDefault="0025700F" w:rsidP="00F72E45">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25700F" w:rsidRPr="00976B09" w:rsidRDefault="0025700F" w:rsidP="00F72E45">
            <w:pPr>
              <w:widowControl w:val="0"/>
              <w:shd w:val="clear" w:color="auto" w:fill="FFFFFF"/>
              <w:autoSpaceDE w:val="0"/>
              <w:autoSpaceDN w:val="0"/>
              <w:adjustRightInd w:val="0"/>
              <w:spacing w:after="0"/>
              <w:ind w:firstLine="0"/>
              <w:jc w:val="left"/>
              <w:rPr>
                <w:sz w:val="24"/>
                <w:szCs w:val="24"/>
              </w:rPr>
            </w:pPr>
            <w:r w:rsidRPr="00976B09">
              <w:rPr>
                <w:sz w:val="24"/>
                <w:szCs w:val="24"/>
              </w:rPr>
              <w:t xml:space="preserve">Сльозко Олена Анатоліївна, </w:t>
            </w:r>
          </w:p>
          <w:p w:rsidR="0025700F" w:rsidRPr="00976B09" w:rsidRDefault="0025700F" w:rsidP="00F72E45">
            <w:pPr>
              <w:widowControl w:val="0"/>
              <w:shd w:val="clear" w:color="auto" w:fill="FFFFFF"/>
              <w:autoSpaceDE w:val="0"/>
              <w:autoSpaceDN w:val="0"/>
              <w:adjustRightInd w:val="0"/>
              <w:spacing w:after="0"/>
              <w:ind w:firstLine="0"/>
              <w:jc w:val="left"/>
              <w:rPr>
                <w:sz w:val="24"/>
                <w:szCs w:val="24"/>
              </w:rPr>
            </w:pPr>
            <w:r w:rsidRPr="00976B09">
              <w:rPr>
                <w:sz w:val="24"/>
                <w:szCs w:val="24"/>
              </w:rPr>
              <w:t>тел. (044) 256-81-19,</w:t>
            </w:r>
          </w:p>
          <w:p w:rsidR="0025700F" w:rsidRPr="002F6B5A" w:rsidRDefault="0025700F" w:rsidP="00F72E45">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25700F" w:rsidRPr="002F6B5A" w:rsidTr="00F72E45">
        <w:tc>
          <w:tcPr>
            <w:tcW w:w="5000" w:type="pct"/>
            <w:gridSpan w:val="3"/>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25700F" w:rsidRPr="002F6B5A" w:rsidTr="00F72E45">
        <w:tc>
          <w:tcPr>
            <w:tcW w:w="117" w:type="pct"/>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1</w:t>
            </w:r>
          </w:p>
        </w:tc>
        <w:tc>
          <w:tcPr>
            <w:tcW w:w="1026" w:type="pct"/>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Освіта</w:t>
            </w:r>
          </w:p>
        </w:tc>
        <w:tc>
          <w:tcPr>
            <w:tcW w:w="3857" w:type="pct"/>
          </w:tcPr>
          <w:p w:rsidR="0025700F" w:rsidRPr="002F6B5A" w:rsidRDefault="0025700F" w:rsidP="00F72E45">
            <w:pPr>
              <w:widowControl w:val="0"/>
              <w:shd w:val="clear" w:color="auto" w:fill="FFFFFF"/>
              <w:autoSpaceDE w:val="0"/>
              <w:autoSpaceDN w:val="0"/>
              <w:adjustRightInd w:val="0"/>
              <w:spacing w:after="0"/>
              <w:ind w:left="57" w:firstLine="0"/>
              <w:rPr>
                <w:sz w:val="24"/>
                <w:szCs w:val="24"/>
                <w:lang w:eastAsia="uk-UA"/>
              </w:rPr>
            </w:pPr>
            <w:r w:rsidRPr="002F6B5A">
              <w:rPr>
                <w:sz w:val="24"/>
                <w:szCs w:val="24"/>
                <w:lang w:eastAsia="uk-UA"/>
              </w:rPr>
              <w:t>ступінь</w:t>
            </w:r>
            <w:r w:rsidRPr="002F6B5A">
              <w:rPr>
                <w:sz w:val="24"/>
                <w:szCs w:val="24"/>
              </w:rPr>
              <w:t xml:space="preserve"> вищої освіти не нижче магістра </w:t>
            </w:r>
          </w:p>
        </w:tc>
      </w:tr>
      <w:tr w:rsidR="0025700F" w:rsidRPr="002F6B5A" w:rsidTr="00F72E45">
        <w:tc>
          <w:tcPr>
            <w:tcW w:w="117" w:type="pct"/>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2</w:t>
            </w:r>
          </w:p>
        </w:tc>
        <w:tc>
          <w:tcPr>
            <w:tcW w:w="1026" w:type="pct"/>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Pr>
          <w:p w:rsidR="0025700F" w:rsidRPr="002F6B5A" w:rsidRDefault="0025700F" w:rsidP="0025700F">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25700F" w:rsidRPr="002F6B5A" w:rsidTr="00F72E45">
        <w:tc>
          <w:tcPr>
            <w:tcW w:w="117" w:type="pct"/>
          </w:tcPr>
          <w:p w:rsidR="0025700F" w:rsidRPr="002F6B5A" w:rsidRDefault="0025700F" w:rsidP="00F72E45">
            <w:pPr>
              <w:spacing w:after="0"/>
              <w:ind w:firstLine="0"/>
              <w:jc w:val="center"/>
              <w:rPr>
                <w:sz w:val="24"/>
                <w:szCs w:val="24"/>
                <w:lang w:eastAsia="uk-UA"/>
              </w:rPr>
            </w:pPr>
            <w:r w:rsidRPr="002F6B5A">
              <w:rPr>
                <w:sz w:val="24"/>
                <w:szCs w:val="24"/>
                <w:lang w:eastAsia="uk-UA"/>
              </w:rPr>
              <w:lastRenderedPageBreak/>
              <w:t>3</w:t>
            </w:r>
          </w:p>
        </w:tc>
        <w:tc>
          <w:tcPr>
            <w:tcW w:w="1026" w:type="pct"/>
          </w:tcPr>
          <w:p w:rsidR="0025700F" w:rsidRPr="002F6B5A" w:rsidRDefault="0025700F" w:rsidP="00F72E45">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Pr>
          <w:p w:rsidR="0025700F" w:rsidRPr="002F6B5A" w:rsidRDefault="0025700F" w:rsidP="00F72E45">
            <w:pPr>
              <w:widowControl w:val="0"/>
              <w:shd w:val="clear" w:color="auto" w:fill="FFFFFF"/>
              <w:autoSpaceDE w:val="0"/>
              <w:autoSpaceDN w:val="0"/>
              <w:adjustRightInd w:val="0"/>
              <w:spacing w:after="0"/>
              <w:ind w:left="57" w:firstLine="0"/>
              <w:rPr>
                <w:sz w:val="24"/>
                <w:szCs w:val="24"/>
                <w:lang w:eastAsia="uk-UA"/>
              </w:rPr>
            </w:pPr>
            <w:r>
              <w:rPr>
                <w:sz w:val="24"/>
                <w:szCs w:val="24"/>
                <w:lang w:eastAsia="uk-UA"/>
              </w:rPr>
              <w:t>вільне</w:t>
            </w:r>
          </w:p>
        </w:tc>
      </w:tr>
      <w:tr w:rsidR="0025700F" w:rsidRPr="002F6B5A" w:rsidTr="00F72E45">
        <w:tc>
          <w:tcPr>
            <w:tcW w:w="5000" w:type="pct"/>
            <w:gridSpan w:val="3"/>
          </w:tcPr>
          <w:p w:rsidR="0025700F" w:rsidRPr="002F6B5A" w:rsidRDefault="0025700F" w:rsidP="00F72E45">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25700F" w:rsidRPr="002F6B5A" w:rsidTr="00F72E45">
        <w:tc>
          <w:tcPr>
            <w:tcW w:w="1143" w:type="pct"/>
            <w:gridSpan w:val="2"/>
          </w:tcPr>
          <w:p w:rsidR="0025700F" w:rsidRPr="002F6B5A" w:rsidRDefault="0025700F" w:rsidP="00F72E45">
            <w:pPr>
              <w:spacing w:after="0"/>
              <w:ind w:firstLine="0"/>
              <w:jc w:val="center"/>
              <w:rPr>
                <w:sz w:val="24"/>
                <w:szCs w:val="24"/>
                <w:lang w:eastAsia="uk-UA"/>
              </w:rPr>
            </w:pPr>
            <w:r w:rsidRPr="002F6B5A">
              <w:rPr>
                <w:sz w:val="24"/>
                <w:szCs w:val="24"/>
                <w:lang w:eastAsia="uk-UA"/>
              </w:rPr>
              <w:t>Вимога</w:t>
            </w:r>
          </w:p>
        </w:tc>
        <w:tc>
          <w:tcPr>
            <w:tcW w:w="3857" w:type="pct"/>
          </w:tcPr>
          <w:p w:rsidR="0025700F" w:rsidRPr="002F6B5A" w:rsidRDefault="0025700F" w:rsidP="00F72E45">
            <w:pPr>
              <w:spacing w:after="0"/>
              <w:ind w:firstLine="0"/>
              <w:jc w:val="center"/>
              <w:rPr>
                <w:sz w:val="24"/>
                <w:szCs w:val="24"/>
                <w:lang w:eastAsia="uk-UA"/>
              </w:rPr>
            </w:pPr>
            <w:r w:rsidRPr="002F6B5A">
              <w:rPr>
                <w:sz w:val="24"/>
                <w:szCs w:val="24"/>
                <w:lang w:eastAsia="uk-UA"/>
              </w:rPr>
              <w:t>Компоненти вимоги</w:t>
            </w:r>
          </w:p>
        </w:tc>
      </w:tr>
      <w:tr w:rsidR="00774804" w:rsidRPr="002F6B5A" w:rsidTr="00F72E45">
        <w:tc>
          <w:tcPr>
            <w:tcW w:w="117" w:type="pct"/>
          </w:tcPr>
          <w:p w:rsidR="00774804" w:rsidRPr="002F6B5A" w:rsidRDefault="00774804" w:rsidP="00774804">
            <w:pPr>
              <w:spacing w:after="0"/>
              <w:ind w:firstLine="0"/>
              <w:jc w:val="center"/>
              <w:rPr>
                <w:sz w:val="24"/>
                <w:szCs w:val="24"/>
                <w:lang w:eastAsia="uk-UA"/>
              </w:rPr>
            </w:pPr>
            <w:r w:rsidRPr="002F6B5A">
              <w:rPr>
                <w:sz w:val="24"/>
                <w:szCs w:val="24"/>
                <w:lang w:eastAsia="uk-UA"/>
              </w:rPr>
              <w:t>1</w:t>
            </w:r>
          </w:p>
        </w:tc>
        <w:tc>
          <w:tcPr>
            <w:tcW w:w="1026" w:type="pct"/>
          </w:tcPr>
          <w:p w:rsidR="00774804" w:rsidRPr="007728FC" w:rsidRDefault="007728FC" w:rsidP="007728FC">
            <w:pPr>
              <w:pStyle w:val="rvps14"/>
              <w:spacing w:before="0" w:beforeAutospacing="0" w:after="0" w:afterAutospacing="0"/>
            </w:pPr>
            <w:r>
              <w:t>Д</w:t>
            </w:r>
            <w:r w:rsidR="00774804" w:rsidRPr="007728FC">
              <w:t>осягнення результатів</w:t>
            </w:r>
          </w:p>
        </w:tc>
        <w:tc>
          <w:tcPr>
            <w:tcW w:w="3857" w:type="pct"/>
          </w:tcPr>
          <w:p w:rsidR="00774804" w:rsidRPr="007728FC" w:rsidRDefault="00774804" w:rsidP="007728FC">
            <w:pPr>
              <w:pStyle w:val="rvps14"/>
              <w:spacing w:before="0" w:beforeAutospacing="0" w:after="0" w:afterAutospacing="0"/>
            </w:pPr>
            <w:r w:rsidRPr="007728FC">
              <w:t>здатність до чіткого бачення результату діяльності;</w:t>
            </w:r>
            <w:r w:rsidRPr="007728FC">
              <w:br/>
              <w:t>вміння фокусувати зусилля для досягнення результату діяльності;</w:t>
            </w:r>
            <w:r w:rsidRPr="007728FC">
              <w:br/>
              <w:t>вміння запобігати та ефективно долати перешкоди</w:t>
            </w:r>
          </w:p>
        </w:tc>
      </w:tr>
      <w:tr w:rsidR="0025700F" w:rsidRPr="002F6B5A" w:rsidTr="00F72E45">
        <w:tc>
          <w:tcPr>
            <w:tcW w:w="117" w:type="pct"/>
          </w:tcPr>
          <w:p w:rsidR="0025700F" w:rsidRPr="002F6B5A" w:rsidRDefault="0025700F" w:rsidP="00F72E45">
            <w:pPr>
              <w:spacing w:after="0"/>
              <w:ind w:firstLine="0"/>
              <w:jc w:val="center"/>
              <w:rPr>
                <w:sz w:val="24"/>
                <w:szCs w:val="24"/>
                <w:lang w:eastAsia="uk-UA"/>
              </w:rPr>
            </w:pPr>
            <w:r w:rsidRPr="002F6B5A">
              <w:rPr>
                <w:sz w:val="24"/>
                <w:szCs w:val="24"/>
                <w:lang w:eastAsia="uk-UA"/>
              </w:rPr>
              <w:t>2</w:t>
            </w:r>
          </w:p>
        </w:tc>
        <w:tc>
          <w:tcPr>
            <w:tcW w:w="1026" w:type="pct"/>
          </w:tcPr>
          <w:p w:rsidR="0025700F" w:rsidRPr="002F6B5A" w:rsidRDefault="0025700F" w:rsidP="00F72E45">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Pr>
          <w:p w:rsidR="007728FC" w:rsidRDefault="007728FC" w:rsidP="00F72E45">
            <w:pPr>
              <w:widowControl w:val="0"/>
              <w:shd w:val="clear" w:color="auto" w:fill="FFFFFF"/>
              <w:tabs>
                <w:tab w:val="left" w:pos="326"/>
              </w:tabs>
              <w:autoSpaceDE w:val="0"/>
              <w:autoSpaceDN w:val="0"/>
              <w:adjustRightInd w:val="0"/>
              <w:spacing w:after="0"/>
              <w:ind w:firstLine="0"/>
              <w:jc w:val="left"/>
              <w:rPr>
                <w:sz w:val="24"/>
                <w:szCs w:val="24"/>
                <w:lang w:eastAsia="uk-UA"/>
              </w:rPr>
            </w:pPr>
            <w:r w:rsidRPr="007728FC">
              <w:rPr>
                <w:sz w:val="24"/>
                <w:szCs w:val="24"/>
                <w:lang w:eastAsia="uk-UA"/>
              </w:rPr>
              <w:t>чітке бачення цілі;</w:t>
            </w:r>
          </w:p>
          <w:p w:rsidR="0025700F" w:rsidRPr="002F6B5A" w:rsidRDefault="0025700F" w:rsidP="00F72E45">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ефективне управління ресурсами;</w:t>
            </w:r>
          </w:p>
          <w:p w:rsidR="0025700F" w:rsidRPr="002F6B5A" w:rsidRDefault="0025700F" w:rsidP="00F72E45">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чітке планування реалізації;</w:t>
            </w:r>
          </w:p>
          <w:p w:rsidR="0025700F" w:rsidRPr="002F6B5A" w:rsidRDefault="0025700F" w:rsidP="00F72E45">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ефективне формування та управління процесами</w:t>
            </w:r>
          </w:p>
        </w:tc>
      </w:tr>
      <w:tr w:rsidR="0025700F" w:rsidRPr="002F6B5A" w:rsidTr="00F72E45">
        <w:tc>
          <w:tcPr>
            <w:tcW w:w="117" w:type="pct"/>
          </w:tcPr>
          <w:p w:rsidR="0025700F" w:rsidRPr="002F6B5A" w:rsidRDefault="0025700F" w:rsidP="00F72E45">
            <w:pPr>
              <w:spacing w:after="0"/>
              <w:ind w:firstLine="0"/>
              <w:jc w:val="center"/>
              <w:rPr>
                <w:sz w:val="24"/>
                <w:szCs w:val="24"/>
                <w:lang w:eastAsia="uk-UA"/>
              </w:rPr>
            </w:pPr>
            <w:r w:rsidRPr="002F6B5A">
              <w:rPr>
                <w:sz w:val="24"/>
                <w:szCs w:val="24"/>
                <w:lang w:eastAsia="uk-UA"/>
              </w:rPr>
              <w:t>3</w:t>
            </w:r>
          </w:p>
        </w:tc>
        <w:tc>
          <w:tcPr>
            <w:tcW w:w="1026" w:type="pct"/>
          </w:tcPr>
          <w:p w:rsidR="0025700F" w:rsidRPr="002F6B5A" w:rsidRDefault="007728FC" w:rsidP="00F72E45">
            <w:pPr>
              <w:shd w:val="clear" w:color="auto" w:fill="FFFFFF"/>
              <w:spacing w:after="0"/>
              <w:ind w:firstLine="0"/>
              <w:jc w:val="left"/>
              <w:rPr>
                <w:spacing w:val="-1"/>
                <w:sz w:val="24"/>
                <w:szCs w:val="24"/>
              </w:rPr>
            </w:pPr>
            <w:r w:rsidRPr="007728FC">
              <w:rPr>
                <w:spacing w:val="-1"/>
                <w:sz w:val="24"/>
                <w:szCs w:val="24"/>
              </w:rPr>
              <w:t>Аналітичні здібності</w:t>
            </w:r>
          </w:p>
        </w:tc>
        <w:tc>
          <w:tcPr>
            <w:tcW w:w="3857" w:type="pct"/>
          </w:tcPr>
          <w:p w:rsidR="007728FC" w:rsidRPr="007728FC" w:rsidRDefault="007728FC" w:rsidP="007728FC">
            <w:pPr>
              <w:shd w:val="clear" w:color="auto" w:fill="FFFFFF"/>
              <w:spacing w:after="0"/>
              <w:ind w:firstLine="0"/>
              <w:rPr>
                <w:sz w:val="24"/>
                <w:szCs w:val="24"/>
              </w:rPr>
            </w:pPr>
            <w:r w:rsidRPr="007728FC">
              <w:rPr>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rsidR="007728FC" w:rsidRPr="007728FC" w:rsidRDefault="007728FC" w:rsidP="007728FC">
            <w:pPr>
              <w:shd w:val="clear" w:color="auto" w:fill="FFFFFF"/>
              <w:spacing w:after="0"/>
              <w:ind w:firstLine="0"/>
              <w:rPr>
                <w:sz w:val="24"/>
                <w:szCs w:val="24"/>
              </w:rPr>
            </w:pPr>
            <w:r w:rsidRPr="007728FC">
              <w:rPr>
                <w:sz w:val="24"/>
                <w:szCs w:val="24"/>
              </w:rPr>
              <w:t>вміння встановлювати причинно-наслідкові зв'язки;</w:t>
            </w:r>
          </w:p>
          <w:p w:rsidR="0025700F" w:rsidRPr="002F6B5A" w:rsidRDefault="007728FC" w:rsidP="007728FC">
            <w:pPr>
              <w:shd w:val="clear" w:color="auto" w:fill="FFFFFF"/>
              <w:spacing w:after="0"/>
              <w:ind w:firstLine="0"/>
              <w:rPr>
                <w:sz w:val="24"/>
                <w:szCs w:val="24"/>
              </w:rPr>
            </w:pPr>
            <w:r w:rsidRPr="007728FC">
              <w:rPr>
                <w:sz w:val="24"/>
                <w:szCs w:val="24"/>
              </w:rPr>
              <w:t xml:space="preserve">вміння аналізувати інформацію та робити висновки, критично оцінювати ситуації, прогнозувати та робити власні умовиводи </w:t>
            </w:r>
          </w:p>
        </w:tc>
      </w:tr>
      <w:tr w:rsidR="0025700F" w:rsidRPr="002F6B5A" w:rsidTr="00F72E45">
        <w:tc>
          <w:tcPr>
            <w:tcW w:w="5000" w:type="pct"/>
            <w:gridSpan w:val="3"/>
          </w:tcPr>
          <w:p w:rsidR="0025700F" w:rsidRPr="002F6B5A" w:rsidRDefault="0025700F" w:rsidP="00F72E45">
            <w:pPr>
              <w:spacing w:after="0"/>
              <w:ind w:firstLine="0"/>
              <w:jc w:val="center"/>
              <w:rPr>
                <w:sz w:val="24"/>
                <w:szCs w:val="24"/>
                <w:lang w:eastAsia="uk-UA"/>
              </w:rPr>
            </w:pPr>
            <w:r w:rsidRPr="002F6B5A">
              <w:rPr>
                <w:sz w:val="24"/>
                <w:szCs w:val="24"/>
                <w:lang w:eastAsia="uk-UA"/>
              </w:rPr>
              <w:t>Професійні знання</w:t>
            </w:r>
          </w:p>
        </w:tc>
      </w:tr>
      <w:tr w:rsidR="0025700F" w:rsidRPr="002F6B5A" w:rsidTr="00F72E45">
        <w:tc>
          <w:tcPr>
            <w:tcW w:w="1143" w:type="pct"/>
            <w:gridSpan w:val="2"/>
          </w:tcPr>
          <w:p w:rsidR="0025700F" w:rsidRPr="002F6B5A" w:rsidRDefault="0025700F" w:rsidP="00F72E45">
            <w:pPr>
              <w:spacing w:after="0"/>
              <w:ind w:firstLine="0"/>
              <w:jc w:val="center"/>
              <w:rPr>
                <w:sz w:val="24"/>
                <w:szCs w:val="24"/>
                <w:lang w:eastAsia="uk-UA"/>
              </w:rPr>
            </w:pPr>
            <w:r w:rsidRPr="002F6B5A">
              <w:rPr>
                <w:sz w:val="24"/>
                <w:szCs w:val="24"/>
                <w:lang w:eastAsia="uk-UA"/>
              </w:rPr>
              <w:t>Вимога</w:t>
            </w:r>
          </w:p>
        </w:tc>
        <w:tc>
          <w:tcPr>
            <w:tcW w:w="3857" w:type="pct"/>
          </w:tcPr>
          <w:p w:rsidR="0025700F" w:rsidRPr="002F6B5A" w:rsidRDefault="0025700F" w:rsidP="00F72E45">
            <w:pPr>
              <w:spacing w:after="0"/>
              <w:ind w:firstLine="0"/>
              <w:jc w:val="center"/>
              <w:rPr>
                <w:sz w:val="24"/>
                <w:szCs w:val="24"/>
                <w:lang w:eastAsia="uk-UA"/>
              </w:rPr>
            </w:pPr>
            <w:r w:rsidRPr="002F6B5A">
              <w:rPr>
                <w:sz w:val="24"/>
                <w:szCs w:val="24"/>
                <w:lang w:eastAsia="uk-UA"/>
              </w:rPr>
              <w:t>Компоненти вимоги</w:t>
            </w:r>
          </w:p>
        </w:tc>
      </w:tr>
      <w:tr w:rsidR="0025700F" w:rsidRPr="002F6B5A" w:rsidTr="00F72E45">
        <w:tc>
          <w:tcPr>
            <w:tcW w:w="117" w:type="pct"/>
          </w:tcPr>
          <w:p w:rsidR="0025700F" w:rsidRPr="002F6B5A" w:rsidRDefault="0025700F" w:rsidP="00F72E45">
            <w:pPr>
              <w:spacing w:after="0"/>
              <w:ind w:firstLine="0"/>
              <w:jc w:val="center"/>
              <w:rPr>
                <w:sz w:val="24"/>
                <w:szCs w:val="24"/>
                <w:lang w:eastAsia="uk-UA"/>
              </w:rPr>
            </w:pPr>
            <w:r w:rsidRPr="002F6B5A">
              <w:rPr>
                <w:sz w:val="24"/>
                <w:szCs w:val="24"/>
                <w:lang w:eastAsia="uk-UA"/>
              </w:rPr>
              <w:t>1</w:t>
            </w:r>
          </w:p>
        </w:tc>
        <w:tc>
          <w:tcPr>
            <w:tcW w:w="1026" w:type="pct"/>
          </w:tcPr>
          <w:p w:rsidR="0025700F" w:rsidRPr="002F6B5A" w:rsidRDefault="0025700F" w:rsidP="00F72E45">
            <w:pPr>
              <w:spacing w:after="0"/>
              <w:ind w:firstLine="0"/>
              <w:jc w:val="left"/>
              <w:rPr>
                <w:sz w:val="24"/>
                <w:szCs w:val="24"/>
                <w:lang w:eastAsia="uk-UA"/>
              </w:rPr>
            </w:pPr>
            <w:r w:rsidRPr="002F6B5A">
              <w:rPr>
                <w:sz w:val="24"/>
                <w:szCs w:val="24"/>
                <w:lang w:eastAsia="uk-UA"/>
              </w:rPr>
              <w:t>Знання законодавства</w:t>
            </w:r>
          </w:p>
        </w:tc>
        <w:tc>
          <w:tcPr>
            <w:tcW w:w="3857" w:type="pct"/>
          </w:tcPr>
          <w:p w:rsidR="0025700F" w:rsidRPr="002F6B5A" w:rsidRDefault="0025700F" w:rsidP="00F72E45">
            <w:pPr>
              <w:spacing w:after="0"/>
              <w:ind w:firstLine="0"/>
              <w:rPr>
                <w:sz w:val="24"/>
                <w:szCs w:val="24"/>
                <w:lang w:eastAsia="uk-UA"/>
              </w:rPr>
            </w:pPr>
            <w:r w:rsidRPr="002F6B5A">
              <w:rPr>
                <w:sz w:val="24"/>
                <w:szCs w:val="24"/>
                <w:lang w:eastAsia="uk-UA"/>
              </w:rPr>
              <w:t>Конституція України;</w:t>
            </w:r>
          </w:p>
          <w:p w:rsidR="0025700F" w:rsidRPr="002F6B5A" w:rsidRDefault="0025700F" w:rsidP="00F72E45">
            <w:pPr>
              <w:spacing w:after="0"/>
              <w:ind w:firstLine="0"/>
              <w:rPr>
                <w:sz w:val="24"/>
                <w:szCs w:val="24"/>
                <w:lang w:eastAsia="uk-UA"/>
              </w:rPr>
            </w:pPr>
            <w:r w:rsidRPr="002F6B5A">
              <w:rPr>
                <w:sz w:val="24"/>
                <w:szCs w:val="24"/>
                <w:lang w:eastAsia="uk-UA"/>
              </w:rPr>
              <w:t>Закон України "Про державну службу";</w:t>
            </w:r>
          </w:p>
          <w:p w:rsidR="00774804" w:rsidRDefault="0025700F" w:rsidP="00F72E45">
            <w:pPr>
              <w:spacing w:after="0"/>
              <w:ind w:firstLine="0"/>
              <w:rPr>
                <w:sz w:val="24"/>
                <w:szCs w:val="24"/>
                <w:lang w:eastAsia="uk-UA"/>
              </w:rPr>
            </w:pPr>
            <w:r w:rsidRPr="002F6B5A">
              <w:rPr>
                <w:sz w:val="24"/>
                <w:szCs w:val="24"/>
                <w:lang w:eastAsia="uk-UA"/>
              </w:rPr>
              <w:t xml:space="preserve">Закон України "Про запобігання корупції" </w:t>
            </w:r>
          </w:p>
          <w:p w:rsidR="00774804" w:rsidRDefault="00774804" w:rsidP="00774804">
            <w:pPr>
              <w:spacing w:after="0"/>
              <w:ind w:firstLine="0"/>
              <w:rPr>
                <w:sz w:val="24"/>
                <w:szCs w:val="24"/>
                <w:lang w:eastAsia="uk-UA"/>
              </w:rPr>
            </w:pPr>
            <w:r w:rsidRPr="002F6B5A">
              <w:rPr>
                <w:sz w:val="24"/>
                <w:szCs w:val="24"/>
                <w:lang w:eastAsia="uk-UA"/>
              </w:rPr>
              <w:t>Закон України "Про Центральну виборчу комісію"</w:t>
            </w:r>
            <w:r>
              <w:rPr>
                <w:sz w:val="24"/>
                <w:szCs w:val="24"/>
                <w:lang w:eastAsia="uk-UA"/>
              </w:rPr>
              <w:t xml:space="preserve"> </w:t>
            </w:r>
          </w:p>
          <w:p w:rsidR="0025700F" w:rsidRPr="002F6B5A" w:rsidRDefault="0025700F" w:rsidP="00774804">
            <w:pPr>
              <w:spacing w:after="0"/>
              <w:ind w:firstLine="0"/>
              <w:rPr>
                <w:sz w:val="24"/>
                <w:szCs w:val="24"/>
                <w:lang w:eastAsia="uk-UA"/>
              </w:rPr>
            </w:pPr>
            <w:r w:rsidRPr="002F6B5A">
              <w:rPr>
                <w:sz w:val="24"/>
                <w:szCs w:val="24"/>
                <w:lang w:eastAsia="uk-UA"/>
              </w:rPr>
              <w:t>інше законодавство</w:t>
            </w:r>
          </w:p>
        </w:tc>
      </w:tr>
    </w:tbl>
    <w:p w:rsidR="0025700F" w:rsidRPr="002F6B5A" w:rsidRDefault="0025700F" w:rsidP="0025700F">
      <w:pPr>
        <w:spacing w:after="0"/>
        <w:ind w:left="11624" w:firstLine="0"/>
        <w:jc w:val="center"/>
        <w:rPr>
          <w:sz w:val="2"/>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B035D5" w:rsidRDefault="00B035D5" w:rsidP="00CA1153">
      <w:pPr>
        <w:spacing w:after="0"/>
        <w:ind w:left="11624" w:firstLine="0"/>
        <w:jc w:val="center"/>
        <w:rPr>
          <w:bCs/>
          <w:sz w:val="26"/>
          <w:szCs w:val="26"/>
          <w:lang w:eastAsia="uk-UA"/>
        </w:rPr>
      </w:pPr>
    </w:p>
    <w:p w:rsidR="00985CA8" w:rsidRDefault="00985CA8" w:rsidP="00CB6F6D">
      <w:pPr>
        <w:widowControl w:val="0"/>
        <w:ind w:firstLine="0"/>
        <w:jc w:val="center"/>
        <w:rPr>
          <w:b/>
          <w:bCs/>
          <w:szCs w:val="28"/>
          <w:lang w:eastAsia="uk-UA"/>
        </w:rPr>
      </w:pPr>
      <w:bookmarkStart w:id="0" w:name="_GoBack"/>
      <w:bookmarkEnd w:id="0"/>
    </w:p>
    <w:sectPr w:rsidR="00985CA8" w:rsidSect="007D3DA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FDD" w:rsidRDefault="00C60FDD" w:rsidP="00BE5EE5">
      <w:r>
        <w:separator/>
      </w:r>
    </w:p>
  </w:endnote>
  <w:endnote w:type="continuationSeparator" w:id="0">
    <w:p w:rsidR="00C60FDD" w:rsidRDefault="00C60FDD"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1C1D">
      <w:rPr>
        <w:rStyle w:val="a5"/>
        <w:noProof/>
      </w:rPr>
      <w:t>3</w:t>
    </w:r>
    <w:r>
      <w:rPr>
        <w:rStyle w:val="a5"/>
      </w:rPr>
      <w:fldChar w:fldCharType="end"/>
    </w:r>
  </w:p>
  <w:p w:rsidR="00985CA8" w:rsidRDefault="00985CA8" w:rsidP="00FE30F0">
    <w:pPr>
      <w:pStyle w:val="a3"/>
      <w:rPr>
        <w:rStyle w:val="a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Pr="00636F91" w:rsidRDefault="00985CA8" w:rsidP="00636F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FDD" w:rsidRDefault="00C60FDD" w:rsidP="00BE5EE5">
      <w:r>
        <w:separator/>
      </w:r>
    </w:p>
  </w:footnote>
  <w:footnote w:type="continuationSeparator" w:id="0">
    <w:p w:rsidR="00C60FDD" w:rsidRDefault="00C60FDD" w:rsidP="00BE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08C1746C"/>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abstractNum w:abstractNumId="2"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3"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4"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39966C1D"/>
    <w:multiLevelType w:val="hybridMultilevel"/>
    <w:tmpl w:val="2A28AA3A"/>
    <w:lvl w:ilvl="0" w:tplc="7878054E">
      <w:start w:val="1"/>
      <w:numFmt w:val="decimal"/>
      <w:lvlText w:val="%1."/>
      <w:lvlJc w:val="left"/>
      <w:pPr>
        <w:ind w:left="411" w:hanging="360"/>
      </w:pPr>
      <w:rPr>
        <w:rFonts w:cs="Times New Roman" w:hint="default"/>
      </w:rPr>
    </w:lvl>
    <w:lvl w:ilvl="1" w:tplc="0794034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7"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8"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9"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0"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1" w15:restartNumberingAfterBreak="0">
    <w:nsid w:val="64456E16"/>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12"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5"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6"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8"/>
  </w:num>
  <w:num w:numId="4">
    <w:abstractNumId w:val="15"/>
  </w:num>
  <w:num w:numId="5">
    <w:abstractNumId w:val="9"/>
  </w:num>
  <w:num w:numId="6">
    <w:abstractNumId w:val="4"/>
  </w:num>
  <w:num w:numId="7">
    <w:abstractNumId w:val="10"/>
  </w:num>
  <w:num w:numId="8">
    <w:abstractNumId w:val="3"/>
  </w:num>
  <w:num w:numId="9">
    <w:abstractNumId w:val="14"/>
  </w:num>
  <w:num w:numId="10">
    <w:abstractNumId w:val="6"/>
  </w:num>
  <w:num w:numId="11">
    <w:abstractNumId w:val="7"/>
  </w:num>
  <w:num w:numId="12">
    <w:abstractNumId w:val="13"/>
  </w:num>
  <w:num w:numId="13">
    <w:abstractNumId w:val="16"/>
  </w:num>
  <w:num w:numId="14">
    <w:abstractNumId w:val="12"/>
  </w:num>
  <w:num w:numId="15">
    <w:abstractNumId w:val="2"/>
  </w:num>
  <w:num w:numId="16">
    <w:abstractNumId w:val="11"/>
  </w:num>
  <w:num w:numId="17">
    <w:abstractNumId w:val="1"/>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1181"/>
    <w:rsid w:val="00083AC6"/>
    <w:rsid w:val="00085E80"/>
    <w:rsid w:val="00086F31"/>
    <w:rsid w:val="00090909"/>
    <w:rsid w:val="00090E40"/>
    <w:rsid w:val="00091975"/>
    <w:rsid w:val="00092D8A"/>
    <w:rsid w:val="00097185"/>
    <w:rsid w:val="00097A5A"/>
    <w:rsid w:val="000A11E0"/>
    <w:rsid w:val="000A33F1"/>
    <w:rsid w:val="000A48D1"/>
    <w:rsid w:val="000A6774"/>
    <w:rsid w:val="000B09F2"/>
    <w:rsid w:val="000B28F5"/>
    <w:rsid w:val="000B4373"/>
    <w:rsid w:val="000C1692"/>
    <w:rsid w:val="000C30DF"/>
    <w:rsid w:val="000C3277"/>
    <w:rsid w:val="000C5CED"/>
    <w:rsid w:val="000C6EB5"/>
    <w:rsid w:val="000C7A25"/>
    <w:rsid w:val="000D0948"/>
    <w:rsid w:val="000D42D9"/>
    <w:rsid w:val="000E3053"/>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23E"/>
    <w:rsid w:val="001457B5"/>
    <w:rsid w:val="00151194"/>
    <w:rsid w:val="001529C1"/>
    <w:rsid w:val="00153BED"/>
    <w:rsid w:val="001547E5"/>
    <w:rsid w:val="00156D8F"/>
    <w:rsid w:val="001609C1"/>
    <w:rsid w:val="00161EF2"/>
    <w:rsid w:val="0016600A"/>
    <w:rsid w:val="00172B8A"/>
    <w:rsid w:val="0017419A"/>
    <w:rsid w:val="00175CA5"/>
    <w:rsid w:val="001845D8"/>
    <w:rsid w:val="00187D76"/>
    <w:rsid w:val="00192168"/>
    <w:rsid w:val="00193AA3"/>
    <w:rsid w:val="0019423E"/>
    <w:rsid w:val="00194746"/>
    <w:rsid w:val="00194983"/>
    <w:rsid w:val="00197FA3"/>
    <w:rsid w:val="001A4747"/>
    <w:rsid w:val="001A6658"/>
    <w:rsid w:val="001A6855"/>
    <w:rsid w:val="001A756A"/>
    <w:rsid w:val="001A7A60"/>
    <w:rsid w:val="001B11B4"/>
    <w:rsid w:val="001B1408"/>
    <w:rsid w:val="001B3F94"/>
    <w:rsid w:val="001B61BC"/>
    <w:rsid w:val="001C21E1"/>
    <w:rsid w:val="001D0062"/>
    <w:rsid w:val="001D73B9"/>
    <w:rsid w:val="001E3F7D"/>
    <w:rsid w:val="001E4A7E"/>
    <w:rsid w:val="001E5F12"/>
    <w:rsid w:val="001E7AAD"/>
    <w:rsid w:val="001F5D86"/>
    <w:rsid w:val="00200A46"/>
    <w:rsid w:val="00202666"/>
    <w:rsid w:val="00202AB1"/>
    <w:rsid w:val="002078C1"/>
    <w:rsid w:val="0021591A"/>
    <w:rsid w:val="002167BC"/>
    <w:rsid w:val="002174DC"/>
    <w:rsid w:val="002218B7"/>
    <w:rsid w:val="00221E18"/>
    <w:rsid w:val="00232669"/>
    <w:rsid w:val="00234392"/>
    <w:rsid w:val="00237A39"/>
    <w:rsid w:val="00243358"/>
    <w:rsid w:val="002441FA"/>
    <w:rsid w:val="002566D5"/>
    <w:rsid w:val="00256BC5"/>
    <w:rsid w:val="0025700F"/>
    <w:rsid w:val="00257056"/>
    <w:rsid w:val="00263B54"/>
    <w:rsid w:val="002652B5"/>
    <w:rsid w:val="00280AC6"/>
    <w:rsid w:val="0029219B"/>
    <w:rsid w:val="00295C74"/>
    <w:rsid w:val="002A2F2A"/>
    <w:rsid w:val="002B2D11"/>
    <w:rsid w:val="002C0B2A"/>
    <w:rsid w:val="002C3431"/>
    <w:rsid w:val="002D266E"/>
    <w:rsid w:val="002D4A28"/>
    <w:rsid w:val="002D6875"/>
    <w:rsid w:val="002D730F"/>
    <w:rsid w:val="002E1593"/>
    <w:rsid w:val="002E15A7"/>
    <w:rsid w:val="002E1E5E"/>
    <w:rsid w:val="002E29DD"/>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2A4C"/>
    <w:rsid w:val="00345F90"/>
    <w:rsid w:val="00352E77"/>
    <w:rsid w:val="00361223"/>
    <w:rsid w:val="00363C6A"/>
    <w:rsid w:val="0037192E"/>
    <w:rsid w:val="0037443C"/>
    <w:rsid w:val="003759FF"/>
    <w:rsid w:val="00377804"/>
    <w:rsid w:val="0038036C"/>
    <w:rsid w:val="00381329"/>
    <w:rsid w:val="00383925"/>
    <w:rsid w:val="003900E9"/>
    <w:rsid w:val="00391FFA"/>
    <w:rsid w:val="00396104"/>
    <w:rsid w:val="003B07A1"/>
    <w:rsid w:val="003B5B9D"/>
    <w:rsid w:val="003C6476"/>
    <w:rsid w:val="003C7073"/>
    <w:rsid w:val="003D21BC"/>
    <w:rsid w:val="003E1548"/>
    <w:rsid w:val="003E2F32"/>
    <w:rsid w:val="003E2FEE"/>
    <w:rsid w:val="003E37BD"/>
    <w:rsid w:val="003E4783"/>
    <w:rsid w:val="003E50E9"/>
    <w:rsid w:val="003E6153"/>
    <w:rsid w:val="003F4020"/>
    <w:rsid w:val="0040459C"/>
    <w:rsid w:val="00410BD0"/>
    <w:rsid w:val="00412355"/>
    <w:rsid w:val="0041314F"/>
    <w:rsid w:val="00413F87"/>
    <w:rsid w:val="004171D4"/>
    <w:rsid w:val="004248A8"/>
    <w:rsid w:val="0043567E"/>
    <w:rsid w:val="004452D3"/>
    <w:rsid w:val="00453611"/>
    <w:rsid w:val="00455564"/>
    <w:rsid w:val="004569A8"/>
    <w:rsid w:val="00466F75"/>
    <w:rsid w:val="004709DB"/>
    <w:rsid w:val="0048021C"/>
    <w:rsid w:val="00493F05"/>
    <w:rsid w:val="00495F8B"/>
    <w:rsid w:val="0049655B"/>
    <w:rsid w:val="00496DF9"/>
    <w:rsid w:val="004A0561"/>
    <w:rsid w:val="004B1279"/>
    <w:rsid w:val="004B4FC3"/>
    <w:rsid w:val="004B6DE1"/>
    <w:rsid w:val="004C0555"/>
    <w:rsid w:val="004C4C6F"/>
    <w:rsid w:val="004C660D"/>
    <w:rsid w:val="004D505D"/>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4C83"/>
    <w:rsid w:val="00526051"/>
    <w:rsid w:val="005331B3"/>
    <w:rsid w:val="005338AE"/>
    <w:rsid w:val="005359CA"/>
    <w:rsid w:val="0054288A"/>
    <w:rsid w:val="005466CC"/>
    <w:rsid w:val="00556795"/>
    <w:rsid w:val="00556BD4"/>
    <w:rsid w:val="005577A3"/>
    <w:rsid w:val="00560981"/>
    <w:rsid w:val="00573822"/>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5243"/>
    <w:rsid w:val="005D5988"/>
    <w:rsid w:val="005D62D7"/>
    <w:rsid w:val="005E38CA"/>
    <w:rsid w:val="005E3E99"/>
    <w:rsid w:val="005E4275"/>
    <w:rsid w:val="005F6217"/>
    <w:rsid w:val="00601C1D"/>
    <w:rsid w:val="00607F48"/>
    <w:rsid w:val="006136DB"/>
    <w:rsid w:val="00622410"/>
    <w:rsid w:val="0062420E"/>
    <w:rsid w:val="00631888"/>
    <w:rsid w:val="00632C75"/>
    <w:rsid w:val="00632C77"/>
    <w:rsid w:val="0063380A"/>
    <w:rsid w:val="00636F91"/>
    <w:rsid w:val="00640242"/>
    <w:rsid w:val="00647C4E"/>
    <w:rsid w:val="00652950"/>
    <w:rsid w:val="00652CAC"/>
    <w:rsid w:val="0065652B"/>
    <w:rsid w:val="006575B3"/>
    <w:rsid w:val="006653E9"/>
    <w:rsid w:val="00670320"/>
    <w:rsid w:val="00673D6E"/>
    <w:rsid w:val="00674AE1"/>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243A"/>
    <w:rsid w:val="006F4D14"/>
    <w:rsid w:val="00714BC2"/>
    <w:rsid w:val="0071538F"/>
    <w:rsid w:val="007205CF"/>
    <w:rsid w:val="00721263"/>
    <w:rsid w:val="00725340"/>
    <w:rsid w:val="00734052"/>
    <w:rsid w:val="00741905"/>
    <w:rsid w:val="007500A6"/>
    <w:rsid w:val="007509DC"/>
    <w:rsid w:val="00751D08"/>
    <w:rsid w:val="007602B0"/>
    <w:rsid w:val="00762952"/>
    <w:rsid w:val="00764135"/>
    <w:rsid w:val="00771182"/>
    <w:rsid w:val="00771496"/>
    <w:rsid w:val="007728FC"/>
    <w:rsid w:val="00774804"/>
    <w:rsid w:val="00777579"/>
    <w:rsid w:val="00781E5B"/>
    <w:rsid w:val="00782973"/>
    <w:rsid w:val="00783164"/>
    <w:rsid w:val="00793192"/>
    <w:rsid w:val="0079632E"/>
    <w:rsid w:val="007A06E5"/>
    <w:rsid w:val="007A26A3"/>
    <w:rsid w:val="007A45E0"/>
    <w:rsid w:val="007B0783"/>
    <w:rsid w:val="007B23D0"/>
    <w:rsid w:val="007C04A3"/>
    <w:rsid w:val="007C6BA3"/>
    <w:rsid w:val="007D3DA6"/>
    <w:rsid w:val="007D5490"/>
    <w:rsid w:val="007D56A2"/>
    <w:rsid w:val="007D79A4"/>
    <w:rsid w:val="007E1547"/>
    <w:rsid w:val="007E4FCA"/>
    <w:rsid w:val="007E7C9D"/>
    <w:rsid w:val="007F1F4D"/>
    <w:rsid w:val="007F2F82"/>
    <w:rsid w:val="007F4D10"/>
    <w:rsid w:val="008053E2"/>
    <w:rsid w:val="00806591"/>
    <w:rsid w:val="00811305"/>
    <w:rsid w:val="00814E89"/>
    <w:rsid w:val="00816176"/>
    <w:rsid w:val="008164FF"/>
    <w:rsid w:val="00817DD0"/>
    <w:rsid w:val="008239BD"/>
    <w:rsid w:val="00823EE0"/>
    <w:rsid w:val="008248EB"/>
    <w:rsid w:val="00830C8E"/>
    <w:rsid w:val="00832693"/>
    <w:rsid w:val="0084206C"/>
    <w:rsid w:val="008465BD"/>
    <w:rsid w:val="0085130A"/>
    <w:rsid w:val="0085300C"/>
    <w:rsid w:val="008707CB"/>
    <w:rsid w:val="0088003D"/>
    <w:rsid w:val="008818B9"/>
    <w:rsid w:val="00881A65"/>
    <w:rsid w:val="00885DBA"/>
    <w:rsid w:val="0088620C"/>
    <w:rsid w:val="00886CED"/>
    <w:rsid w:val="008A2320"/>
    <w:rsid w:val="008A368E"/>
    <w:rsid w:val="008A6693"/>
    <w:rsid w:val="008A6A2A"/>
    <w:rsid w:val="008A776D"/>
    <w:rsid w:val="008B4B14"/>
    <w:rsid w:val="008B7C3B"/>
    <w:rsid w:val="008C6817"/>
    <w:rsid w:val="008D082F"/>
    <w:rsid w:val="008D5E26"/>
    <w:rsid w:val="008E213D"/>
    <w:rsid w:val="008E2BB3"/>
    <w:rsid w:val="008E7DD4"/>
    <w:rsid w:val="008F1971"/>
    <w:rsid w:val="008F5235"/>
    <w:rsid w:val="008F78B9"/>
    <w:rsid w:val="00902E6E"/>
    <w:rsid w:val="00907349"/>
    <w:rsid w:val="0091219B"/>
    <w:rsid w:val="009131A2"/>
    <w:rsid w:val="00914160"/>
    <w:rsid w:val="0092313E"/>
    <w:rsid w:val="00927085"/>
    <w:rsid w:val="009322F1"/>
    <w:rsid w:val="00932F7A"/>
    <w:rsid w:val="00933311"/>
    <w:rsid w:val="009337C0"/>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5CA8"/>
    <w:rsid w:val="0098692F"/>
    <w:rsid w:val="00987C27"/>
    <w:rsid w:val="00990783"/>
    <w:rsid w:val="00991EC0"/>
    <w:rsid w:val="00994383"/>
    <w:rsid w:val="009A065B"/>
    <w:rsid w:val="009A069E"/>
    <w:rsid w:val="009A3082"/>
    <w:rsid w:val="009B1021"/>
    <w:rsid w:val="009B5C10"/>
    <w:rsid w:val="009C1550"/>
    <w:rsid w:val="009C6D66"/>
    <w:rsid w:val="009D069E"/>
    <w:rsid w:val="009D42D7"/>
    <w:rsid w:val="009E2E3F"/>
    <w:rsid w:val="009E5D6C"/>
    <w:rsid w:val="009E6B44"/>
    <w:rsid w:val="009F46AB"/>
    <w:rsid w:val="00A00DE9"/>
    <w:rsid w:val="00A05540"/>
    <w:rsid w:val="00A07CFF"/>
    <w:rsid w:val="00A11F68"/>
    <w:rsid w:val="00A317E9"/>
    <w:rsid w:val="00A3308A"/>
    <w:rsid w:val="00A47F1B"/>
    <w:rsid w:val="00A6180E"/>
    <w:rsid w:val="00A73327"/>
    <w:rsid w:val="00A7379F"/>
    <w:rsid w:val="00A73C8D"/>
    <w:rsid w:val="00A80B7F"/>
    <w:rsid w:val="00A83BF7"/>
    <w:rsid w:val="00A859FD"/>
    <w:rsid w:val="00A87E4F"/>
    <w:rsid w:val="00A947FB"/>
    <w:rsid w:val="00A97252"/>
    <w:rsid w:val="00AA2C55"/>
    <w:rsid w:val="00AB1BE6"/>
    <w:rsid w:val="00AB1DDE"/>
    <w:rsid w:val="00AB4753"/>
    <w:rsid w:val="00AB724D"/>
    <w:rsid w:val="00AB7C04"/>
    <w:rsid w:val="00AC3753"/>
    <w:rsid w:val="00AD27A2"/>
    <w:rsid w:val="00AD725A"/>
    <w:rsid w:val="00AE4472"/>
    <w:rsid w:val="00AE4A49"/>
    <w:rsid w:val="00AE53B6"/>
    <w:rsid w:val="00AF1BF0"/>
    <w:rsid w:val="00AF21D5"/>
    <w:rsid w:val="00B035D5"/>
    <w:rsid w:val="00B04319"/>
    <w:rsid w:val="00B054DD"/>
    <w:rsid w:val="00B20AC6"/>
    <w:rsid w:val="00B22D26"/>
    <w:rsid w:val="00B24DB4"/>
    <w:rsid w:val="00B25804"/>
    <w:rsid w:val="00B305E2"/>
    <w:rsid w:val="00B37CFA"/>
    <w:rsid w:val="00B403C4"/>
    <w:rsid w:val="00B41D02"/>
    <w:rsid w:val="00B41FD6"/>
    <w:rsid w:val="00B5339E"/>
    <w:rsid w:val="00B557EC"/>
    <w:rsid w:val="00B56AB6"/>
    <w:rsid w:val="00B56DA9"/>
    <w:rsid w:val="00B64E3B"/>
    <w:rsid w:val="00B66221"/>
    <w:rsid w:val="00B7141E"/>
    <w:rsid w:val="00B776BB"/>
    <w:rsid w:val="00B81BFC"/>
    <w:rsid w:val="00B82DB1"/>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602"/>
    <w:rsid w:val="00BE4BBA"/>
    <w:rsid w:val="00BE4CF1"/>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27E12"/>
    <w:rsid w:val="00C3094C"/>
    <w:rsid w:val="00C33F84"/>
    <w:rsid w:val="00C35595"/>
    <w:rsid w:val="00C36CE1"/>
    <w:rsid w:val="00C43C0C"/>
    <w:rsid w:val="00C50557"/>
    <w:rsid w:val="00C50DF5"/>
    <w:rsid w:val="00C53918"/>
    <w:rsid w:val="00C53D69"/>
    <w:rsid w:val="00C55737"/>
    <w:rsid w:val="00C60603"/>
    <w:rsid w:val="00C60FDD"/>
    <w:rsid w:val="00C662C1"/>
    <w:rsid w:val="00C66FDA"/>
    <w:rsid w:val="00C67D6C"/>
    <w:rsid w:val="00C73F58"/>
    <w:rsid w:val="00C76EDF"/>
    <w:rsid w:val="00C82719"/>
    <w:rsid w:val="00C82A0C"/>
    <w:rsid w:val="00C83670"/>
    <w:rsid w:val="00C87003"/>
    <w:rsid w:val="00C87EC5"/>
    <w:rsid w:val="00CA1153"/>
    <w:rsid w:val="00CA285D"/>
    <w:rsid w:val="00CA41AB"/>
    <w:rsid w:val="00CB32B0"/>
    <w:rsid w:val="00CB416E"/>
    <w:rsid w:val="00CB6F6D"/>
    <w:rsid w:val="00CE0E41"/>
    <w:rsid w:val="00CE4ACB"/>
    <w:rsid w:val="00CE7647"/>
    <w:rsid w:val="00CF171A"/>
    <w:rsid w:val="00CF6EBF"/>
    <w:rsid w:val="00D015F8"/>
    <w:rsid w:val="00D02738"/>
    <w:rsid w:val="00D0276E"/>
    <w:rsid w:val="00D02C4A"/>
    <w:rsid w:val="00D04BE7"/>
    <w:rsid w:val="00D15267"/>
    <w:rsid w:val="00D161E7"/>
    <w:rsid w:val="00D16D1B"/>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202A"/>
    <w:rsid w:val="00DE36B1"/>
    <w:rsid w:val="00DE50E0"/>
    <w:rsid w:val="00DE6A51"/>
    <w:rsid w:val="00DE6A65"/>
    <w:rsid w:val="00DF207D"/>
    <w:rsid w:val="00DF2FFD"/>
    <w:rsid w:val="00DF56A3"/>
    <w:rsid w:val="00E13D39"/>
    <w:rsid w:val="00E13E4F"/>
    <w:rsid w:val="00E1606C"/>
    <w:rsid w:val="00E17BA1"/>
    <w:rsid w:val="00E23BF1"/>
    <w:rsid w:val="00E40124"/>
    <w:rsid w:val="00E40455"/>
    <w:rsid w:val="00E52B50"/>
    <w:rsid w:val="00E61E06"/>
    <w:rsid w:val="00E777EC"/>
    <w:rsid w:val="00E813E1"/>
    <w:rsid w:val="00E85D01"/>
    <w:rsid w:val="00E92094"/>
    <w:rsid w:val="00E96BF5"/>
    <w:rsid w:val="00EA0104"/>
    <w:rsid w:val="00EA0B9A"/>
    <w:rsid w:val="00EA18BD"/>
    <w:rsid w:val="00EA3E0F"/>
    <w:rsid w:val="00EA6D9F"/>
    <w:rsid w:val="00EB22D1"/>
    <w:rsid w:val="00EB3C2B"/>
    <w:rsid w:val="00EB561F"/>
    <w:rsid w:val="00EB59E5"/>
    <w:rsid w:val="00EC6DF0"/>
    <w:rsid w:val="00ED425D"/>
    <w:rsid w:val="00ED59F7"/>
    <w:rsid w:val="00ED63E4"/>
    <w:rsid w:val="00EE4FD3"/>
    <w:rsid w:val="00EF13EC"/>
    <w:rsid w:val="00EF62A2"/>
    <w:rsid w:val="00F014E4"/>
    <w:rsid w:val="00F046F9"/>
    <w:rsid w:val="00F07AE3"/>
    <w:rsid w:val="00F17968"/>
    <w:rsid w:val="00F2375F"/>
    <w:rsid w:val="00F242C8"/>
    <w:rsid w:val="00F3003E"/>
    <w:rsid w:val="00F31749"/>
    <w:rsid w:val="00F358EB"/>
    <w:rsid w:val="00F35ECF"/>
    <w:rsid w:val="00F37F77"/>
    <w:rsid w:val="00F444C9"/>
    <w:rsid w:val="00F471C9"/>
    <w:rsid w:val="00F5024C"/>
    <w:rsid w:val="00F51B13"/>
    <w:rsid w:val="00F63CD5"/>
    <w:rsid w:val="00F66129"/>
    <w:rsid w:val="00F67468"/>
    <w:rsid w:val="00F71439"/>
    <w:rsid w:val="00F80641"/>
    <w:rsid w:val="00F87A4E"/>
    <w:rsid w:val="00F90946"/>
    <w:rsid w:val="00F9464C"/>
    <w:rsid w:val="00F959D2"/>
    <w:rsid w:val="00FA0EEB"/>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E5BE7"/>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paragraph" w:customStyle="1" w:styleId="rvps14">
    <w:name w:val="rvps14"/>
    <w:basedOn w:val="a"/>
    <w:rsid w:val="00774804"/>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07049">
      <w:bodyDiv w:val="1"/>
      <w:marLeft w:val="0"/>
      <w:marRight w:val="0"/>
      <w:marTop w:val="0"/>
      <w:marBottom w:val="0"/>
      <w:divBdr>
        <w:top w:val="none" w:sz="0" w:space="0" w:color="auto"/>
        <w:left w:val="none" w:sz="0" w:space="0" w:color="auto"/>
        <w:bottom w:val="none" w:sz="0" w:space="0" w:color="auto"/>
        <w:right w:val="none" w:sz="0" w:space="0" w:color="auto"/>
      </w:divBdr>
      <w:divsChild>
        <w:div w:id="167864887">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ozkoOA@cvk.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akon.rada.gov.ua/laws/file/text/89/f495575n30.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4045</Words>
  <Characters>2306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2022-09-13T08:17:00Z</dcterms:created>
  <dcterms:modified xsi:type="dcterms:W3CDTF">2022-09-13T08:17:00Z</dcterms:modified>
</cp:coreProperties>
</file>