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2109470</wp:posOffset>
                </wp:positionV>
                <wp:extent cx="372110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№27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1.pt;margin-top:166.09999999999999pt;width:29.30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№27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210820</wp:posOffset>
            </wp:positionH>
            <wp:positionV relativeFrom="margin">
              <wp:posOffset>6663055</wp:posOffset>
            </wp:positionV>
            <wp:extent cx="5772785" cy="3841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72785" cy="3841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"16"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внесення змін у склад дільничних виборчих комісій з виборів народних</w:t>
        <w:br/>
        <w:t>депутатів України одномандатного виборчого округу №190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суб’єктів внесення кандидатур щодо зміни до складу дільничних виборчих комісій одномандатного виборчого округу № 190 на позачергових виборах народних депутатів України 21 липня 2019 року відповідно до пункту 2 частини третьої, частини сьомої статті 37 Закону України «Про вибори народних депутатів України», керуючись Роз’ясненням щодо порядку внесення змін до складу окружних та дільничних виборчих комісій з виборів народних депутатів України, затвердженим постановою Центральної виборчої комісії від 18 квітня 2013 року № 81,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Внести зміни до складу дільничних виборчих комісій з виборів народних депутатів України на позачергових виборах народних депутатів України 21 липня 2019 року, утворених відповідно до постанови окружної виборчої комісії від 5 липня 2019 року № 12 "Про утворення дільничних виборчих комісій з виборів народних депутатів України на позачергових виборах народних депутатів України 21 липня 2019 року", згідно з дод.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Дільничним виборчим комісіям з виборів народних депутатів України, до складу яких вносяться зміни, поінформувати громадян про такі зміни у визначений даними комісіями спосіб.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88" w:left="1693" w:right="745" w:bottom="1052" w:header="760" w:footer="62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Повідомити про це рішення суб'єктів, за поданням яких до складу комісії було</w:t>
      </w:r>
    </w:p>
    <w:p>
      <w:pPr>
        <w:pStyle w:val="Style2"/>
        <w:keepNext w:val="0"/>
        <w:keepLines w:val="0"/>
        <w:framePr w:w="1810" w:h="317" w:wrap="none" w:vAnchor="text" w:hAnchor="page" w:x="8141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ГІаразінська Л.О.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12700</wp:posOffset>
            </wp:positionV>
            <wp:extent cx="4827905" cy="238950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827905" cy="23895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88" w:left="1693" w:right="745" w:bottom="10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