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ПОЗАЧЕРГОВІ ВИБОРИ НАРОДНИХ ДЕПУТАТІВ 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21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Окружна виборча комісія з виборів народних депутатів України</w:t>
        <w:br/>
        <w:t>одномандатного виборчого округу № 190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Хмельницька область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м. Шепетівка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68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6302375</wp:posOffset>
                </wp:positionH>
                <wp:positionV relativeFrom="paragraph">
                  <wp:posOffset>12700</wp:posOffset>
                </wp:positionV>
                <wp:extent cx="372110" cy="20129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№ 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6.25pt;margin-top:1.pt;width:29.300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№ 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" П"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Про внесення змін у склад дільничних виборчих комісій з виборів народних</w:t>
        <w:br/>
        <w:t>депутатів України одномандатного виборчого округу №190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Розглянувши подання суб’єктів внесення кандидатур щодо зміни до складу дільничних виборчих комісій одномандатного виборчого округу № 190 на позачергових виборах народних депутатів України 21 липня 2019 року відповідно до пункту 2 частини третьої, частини сьомої статті 37 Закону України «Про вибори народних депутатів України», керуючись Роз’ясненням щодо порядку внесення змін до складу окружних та дільничних виборчих комісій з виборів народних депутатів України, затвердженим постановою Центральної виборчої комісії від 18 квітня 2013 року № 81, окружна виборча комісія з виборів народних депутатів України одномандатного виборчого округу №190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постановляє: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Внести зміни до складу дільничних виборчих комісій з виборів народних депутатів України на позачергових виборах народних депутатів України 21 липня 2019 року, утворених відповідно до постанови окружної виборчої комісії від 5 липня 2019 року № 12 "Про утворення дільничних виборчих комісій з виборів народних депутатів України на позачергових виборах народних депутатів України 21 липня 2019 року", згідно з дод. 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300" w:right="0" w:firstLine="0"/>
        <w:jc w:val="both"/>
      </w:pPr>
      <w:r>
        <w:drawing>
          <wp:anchor distT="0" distB="0" distL="0" distR="956945" simplePos="0" relativeHeight="125829380" behindDoc="0" locked="0" layoutInCell="1" allowOverlap="1">
            <wp:simplePos x="0" y="0"/>
            <wp:positionH relativeFrom="page">
              <wp:posOffset>4043680</wp:posOffset>
            </wp:positionH>
            <wp:positionV relativeFrom="paragraph">
              <wp:posOffset>2057400</wp:posOffset>
            </wp:positionV>
            <wp:extent cx="1012190" cy="438785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12190" cy="4387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5193030</wp:posOffset>
                </wp:positionH>
                <wp:positionV relativeFrom="paragraph">
                  <wp:posOffset>2152015</wp:posOffset>
                </wp:positionV>
                <wp:extent cx="816610" cy="20447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Русняк О.В.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08.89999999999998pt;margin-top:169.44999999999999pt;width:64.299999999999997pt;height:16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Русняк О.В.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Дільничним виборчим комісіям з виборів народних депутатів України, до складу яких вносяться зміни, поінформувати громадян про такі зміни у визначений даними комісіями спосіб;</w:t>
      </w:r>
    </w:p>
    <w:p>
      <w:pPr>
        <w:framePr w:w="9355" w:h="2256" w:hSpace="38" w:vSpace="634" w:wrap="notBeside" w:vAnchor="text" w:hAnchor="text" w:x="67" w:y="1"/>
        <w:widowControl w:val="0"/>
        <w:rPr>
          <w:sz w:val="2"/>
          <w:szCs w:val="2"/>
        </w:rPr>
      </w:pPr>
      <w:r>
        <w:drawing>
          <wp:inline>
            <wp:extent cx="5943600" cy="143256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943600" cy="1432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7780" distR="4136390" simplePos="0" relativeHeight="125829381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1435735</wp:posOffset>
                </wp:positionV>
                <wp:extent cx="1847215" cy="39941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7215" cy="399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Секретар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окружної виборчої комісії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.3999999999999999pt;margin-top:113.05pt;width:145.44999999999999pt;height:31.449999999999999pt;z-index:-125829372;mso-wrap-distance-left:1.3999999999999999pt;mso-wrap-distance-right:325.69999999999999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Секретар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окружної виборчої комісії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notePr>
        <w:pos w:val="pageBottom"/>
        <w:numFmt w:val="decimal"/>
        <w:numRestart w:val="continuous"/>
      </w:footnotePr>
      <w:pgSz w:w="11900" w:h="16840"/>
      <w:pgMar w:top="1245" w:left="1741" w:right="707" w:bottom="1245" w:header="817" w:footer="81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и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Підпис до зображення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Основний текст"/>
    <w:basedOn w:val="Normal"/>
    <w:link w:val="CharStyle3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Підпис до зображення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